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0E" w:rsidRPr="0017370E" w:rsidRDefault="0017370E" w:rsidP="00126F7B">
      <w:pPr>
        <w:rPr>
          <w:rFonts w:ascii="Times New Roman" w:hAnsi="Times New Roman" w:cs="Times New Roman"/>
          <w:sz w:val="24"/>
          <w:szCs w:val="24"/>
          <w:u w:val="single"/>
        </w:rPr>
      </w:pPr>
      <w:r w:rsidRPr="0017370E">
        <w:rPr>
          <w:rFonts w:ascii="Times New Roman" w:hAnsi="Times New Roman" w:cs="Times New Roman"/>
          <w:sz w:val="24"/>
          <w:szCs w:val="24"/>
          <w:u w:val="single"/>
        </w:rPr>
        <w:t>PHYS 321</w:t>
      </w:r>
      <w:r w:rsidRPr="0017370E">
        <w:rPr>
          <w:rFonts w:ascii="Times New Roman" w:hAnsi="Times New Roman" w:cs="Times New Roman"/>
          <w:sz w:val="24"/>
          <w:szCs w:val="24"/>
          <w:u w:val="single"/>
        </w:rPr>
        <w:tab/>
        <w:t>Study Guide for Final</w:t>
      </w:r>
    </w:p>
    <w:p w:rsidR="0017370E" w:rsidRPr="0017370E" w:rsidRDefault="0017370E" w:rsidP="00126F7B">
      <w:pPr>
        <w:rPr>
          <w:rFonts w:ascii="Times New Roman" w:hAnsi="Times New Roman" w:cs="Times New Roman"/>
          <w:sz w:val="24"/>
          <w:szCs w:val="24"/>
        </w:rPr>
      </w:pPr>
      <w:proofErr w:type="gramStart"/>
      <w:r w:rsidRPr="0017370E">
        <w:rPr>
          <w:rFonts w:ascii="Times New Roman" w:hAnsi="Times New Roman" w:cs="Times New Roman"/>
          <w:sz w:val="24"/>
          <w:szCs w:val="24"/>
        </w:rPr>
        <w:t>a</w:t>
      </w:r>
      <w:proofErr w:type="gramEnd"/>
      <w:r w:rsidRPr="0017370E">
        <w:rPr>
          <w:rFonts w:ascii="Times New Roman" w:hAnsi="Times New Roman" w:cs="Times New Roman"/>
          <w:sz w:val="24"/>
          <w:szCs w:val="24"/>
        </w:rPr>
        <w:t>.. Materials and problems similar to Test #1.</w:t>
      </w:r>
    </w:p>
    <w:p w:rsidR="00126F7B" w:rsidRPr="0017370E" w:rsidRDefault="0017370E" w:rsidP="00126F7B">
      <w:pPr>
        <w:rPr>
          <w:rFonts w:ascii="Times New Roman" w:hAnsi="Times New Roman" w:cs="Times New Roman"/>
          <w:sz w:val="24"/>
          <w:szCs w:val="24"/>
        </w:rPr>
      </w:pPr>
      <w:r w:rsidRPr="0017370E">
        <w:rPr>
          <w:rFonts w:ascii="Times New Roman" w:hAnsi="Times New Roman" w:cs="Times New Roman"/>
          <w:sz w:val="24"/>
          <w:szCs w:val="24"/>
        </w:rPr>
        <w:t xml:space="preserve">b. </w:t>
      </w:r>
      <w:proofErr w:type="gramStart"/>
      <w:r w:rsidR="00126F7B" w:rsidRPr="0017370E">
        <w:rPr>
          <w:rFonts w:ascii="Times New Roman" w:hAnsi="Times New Roman" w:cs="Times New Roman"/>
          <w:sz w:val="24"/>
          <w:szCs w:val="24"/>
        </w:rPr>
        <w:t>4.5  For</w:t>
      </w:r>
      <w:proofErr w:type="gramEnd"/>
      <w:r w:rsidR="00126F7B" w:rsidRPr="0017370E">
        <w:rPr>
          <w:rFonts w:ascii="Times New Roman" w:hAnsi="Times New Roman" w:cs="Times New Roman"/>
          <w:sz w:val="24"/>
          <w:szCs w:val="24"/>
        </w:rPr>
        <w:t xml:space="preserve"> both FCC and BCC crystal structures, there are two different types of interstitial sites. In each case, one site is larger than the other, and is normally occupied by impurity atoms. For FCC, this larger one is located at the center of each edge of the unit cell; it is termed an octahedral interstitial site. On the other hand, with BCC the larger site type is found at 0 </w:t>
      </w:r>
      <w:r w:rsidR="00126F7B" w:rsidRPr="0017370E">
        <w:rPr>
          <w:rFonts w:ascii="Times New Roman" w:hAnsi="Times New Roman" w:cs="Times New Roman"/>
          <w:position w:val="-18"/>
          <w:sz w:val="24"/>
          <w:szCs w:val="24"/>
        </w:rPr>
        <w:object w:dxaOrig="1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4pt" o:ole="">
            <v:imagedata r:id="rId5" o:title=""/>
          </v:shape>
          <o:OLEObject Type="Embed" ProgID="Equation.3" ShapeID="_x0000_i1025" DrawAspect="Content" ObjectID="_1459936221" r:id="rId6"/>
        </w:object>
      </w:r>
      <w:r w:rsidR="00126F7B" w:rsidRPr="0017370E">
        <w:rPr>
          <w:rFonts w:ascii="Times New Roman" w:hAnsi="Times New Roman" w:cs="Times New Roman"/>
          <w:position w:val="-18"/>
          <w:sz w:val="24"/>
          <w:szCs w:val="24"/>
        </w:rPr>
        <w:object w:dxaOrig="180" w:dyaOrig="480">
          <v:shape id="_x0000_i1026" type="#_x0000_t75" style="width:9pt;height:24pt" o:ole="">
            <v:imagedata r:id="rId7" o:title=""/>
          </v:shape>
          <o:OLEObject Type="Embed" ProgID="Equation.3" ShapeID="_x0000_i1026" DrawAspect="Content" ObjectID="_1459936222" r:id="rId8"/>
        </w:object>
      </w:r>
      <w:r w:rsidR="00126F7B" w:rsidRPr="0017370E">
        <w:rPr>
          <w:rFonts w:ascii="Times New Roman" w:hAnsi="Times New Roman" w:cs="Times New Roman"/>
          <w:sz w:val="24"/>
          <w:szCs w:val="24"/>
        </w:rPr>
        <w:t xml:space="preserve">  positions—that is, lying on {100} faces, and situated midway between two unit cell edges on this face and one-quarter of the distance between the other two unit cell edges; it is termed a tetrahedral interstitial site. For both FCC and BCC crystal structures, compute the radius r of an impurity atom that will just fit into one of these sites in terms of the atomic radius R of the host atom.</w:t>
      </w:r>
    </w:p>
    <w:p w:rsidR="00126F7B" w:rsidRPr="0017370E" w:rsidRDefault="00727FE4" w:rsidP="00126F7B">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38.1pt;margin-top:6.35pt;width:186.35pt;height:151.7pt;z-index:251660288;mso-width-percent:400;mso-width-percent:400;mso-width-relative:margin;mso-height-relative:margin">
            <v:textbox>
              <w:txbxContent>
                <w:p w:rsidR="00126F7B" w:rsidRDefault="0017370E" w:rsidP="00126F7B">
                  <w:r>
                    <w:rPr>
                      <w:noProof/>
                    </w:rPr>
                    <w:drawing>
                      <wp:inline distT="0" distB="0" distL="0" distR="0">
                        <wp:extent cx="1914525" cy="1790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14525" cy="1790700"/>
                                </a:xfrm>
                                <a:prstGeom prst="rect">
                                  <a:avLst/>
                                </a:prstGeom>
                                <a:noFill/>
                                <a:ln w="9525">
                                  <a:noFill/>
                                  <a:miter lim="800000"/>
                                  <a:headEnd/>
                                  <a:tailEnd/>
                                </a:ln>
                              </pic:spPr>
                            </pic:pic>
                          </a:graphicData>
                        </a:graphic>
                      </wp:inline>
                    </w:drawing>
                  </w:r>
                </w:p>
              </w:txbxContent>
            </v:textbox>
          </v:shape>
        </w:pict>
      </w:r>
      <w:r w:rsidR="0017370E">
        <w:rPr>
          <w:rFonts w:ascii="Times New Roman" w:hAnsi="Times New Roman" w:cs="Times New Roman"/>
          <w:noProof/>
          <w:sz w:val="24"/>
          <w:szCs w:val="24"/>
        </w:rPr>
        <w:drawing>
          <wp:inline distT="0" distB="0" distL="0" distR="0">
            <wp:extent cx="2057400" cy="2143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57400" cy="2143125"/>
                    </a:xfrm>
                    <a:prstGeom prst="rect">
                      <a:avLst/>
                    </a:prstGeom>
                    <a:noFill/>
                    <a:ln w="9525">
                      <a:noFill/>
                      <a:miter lim="800000"/>
                      <a:headEnd/>
                      <a:tailEnd/>
                    </a:ln>
                  </pic:spPr>
                </pic:pic>
              </a:graphicData>
            </a:graphic>
          </wp:inline>
        </w:drawing>
      </w:r>
    </w:p>
    <w:p w:rsidR="00126F7B" w:rsidRPr="0017370E" w:rsidRDefault="0017370E">
      <w:pPr>
        <w:rPr>
          <w:rFonts w:ascii="Times New Roman" w:hAnsi="Times New Roman" w:cs="Times New Roman"/>
          <w:sz w:val="24"/>
          <w:szCs w:val="24"/>
        </w:rPr>
      </w:pPr>
      <w:r w:rsidRPr="0017370E">
        <w:rPr>
          <w:rFonts w:ascii="Times New Roman" w:hAnsi="Times New Roman" w:cs="Times New Roman"/>
          <w:sz w:val="24"/>
          <w:szCs w:val="24"/>
        </w:rPr>
        <w:br/>
        <w:t xml:space="preserve">c. </w:t>
      </w:r>
      <w:r w:rsidR="00126F7B" w:rsidRPr="0017370E">
        <w:rPr>
          <w:rFonts w:ascii="Times New Roman" w:hAnsi="Times New Roman" w:cs="Times New Roman"/>
          <w:sz w:val="24"/>
          <w:szCs w:val="24"/>
        </w:rPr>
        <w:t>Derive the following:</w:t>
      </w:r>
      <w:r w:rsidRPr="0017370E">
        <w:rPr>
          <w:rFonts w:ascii="Times New Roman" w:hAnsi="Times New Roman" w:cs="Times New Roman"/>
          <w:sz w:val="24"/>
          <w:szCs w:val="24"/>
        </w:rPr>
        <w:br/>
      </w:r>
      <w:r w:rsidR="00126F7B" w:rsidRPr="0017370E">
        <w:rPr>
          <w:rFonts w:ascii="Times New Roman" w:hAnsi="Times New Roman" w:cs="Times New Roman"/>
          <w:position w:val="-62"/>
          <w:sz w:val="24"/>
          <w:szCs w:val="24"/>
        </w:rPr>
        <w:object w:dxaOrig="1520" w:dyaOrig="999">
          <v:shape id="_x0000_i1027" type="#_x0000_t75" style="width:87pt;height:57.75pt" o:ole="" fillcolor="window">
            <v:imagedata r:id="rId11" o:title=""/>
          </v:shape>
          <o:OLEObject Type="Embed" ProgID="Equation.3" ShapeID="_x0000_i1027" DrawAspect="Content" ObjectID="_1459936223" r:id="rId12"/>
        </w:object>
      </w:r>
      <w:r w:rsidR="00126F7B" w:rsidRPr="0017370E">
        <w:rPr>
          <w:rFonts w:ascii="Times New Roman" w:hAnsi="Times New Roman" w:cs="Times New Roman"/>
          <w:sz w:val="24"/>
          <w:szCs w:val="24"/>
        </w:rPr>
        <w:tab/>
      </w:r>
      <w:r w:rsidR="00126F7B" w:rsidRPr="0017370E">
        <w:rPr>
          <w:rFonts w:ascii="Times New Roman" w:hAnsi="Times New Roman" w:cs="Times New Roman"/>
          <w:position w:val="-60"/>
          <w:sz w:val="24"/>
          <w:szCs w:val="24"/>
        </w:rPr>
        <w:object w:dxaOrig="1520" w:dyaOrig="980">
          <v:shape id="_x0000_i1028" type="#_x0000_t75" style="width:102pt;height:66pt" o:ole="" fillcolor="window">
            <v:imagedata r:id="rId13" o:title=""/>
          </v:shape>
          <o:OLEObject Type="Embed" ProgID="Equation.3" ShapeID="_x0000_i1028" DrawAspect="Content" ObjectID="_1459936224" r:id="rId14"/>
        </w:object>
      </w:r>
    </w:p>
    <w:p w:rsidR="00126F7B" w:rsidRPr="0017370E" w:rsidRDefault="0017370E">
      <w:pPr>
        <w:rPr>
          <w:rFonts w:ascii="Times New Roman" w:hAnsi="Times New Roman" w:cs="Times New Roman"/>
          <w:sz w:val="24"/>
          <w:szCs w:val="24"/>
        </w:rPr>
      </w:pPr>
      <w:r w:rsidRPr="0017370E">
        <w:rPr>
          <w:rFonts w:ascii="Times New Roman" w:hAnsi="Times New Roman" w:cs="Times New Roman"/>
          <w:sz w:val="24"/>
          <w:szCs w:val="24"/>
          <w:u w:val="single"/>
        </w:rPr>
        <w:t xml:space="preserve">d. </w:t>
      </w:r>
      <w:r w:rsidR="00126F7B" w:rsidRPr="0017370E">
        <w:rPr>
          <w:rFonts w:ascii="Times New Roman" w:hAnsi="Times New Roman" w:cs="Times New Roman"/>
          <w:sz w:val="24"/>
          <w:szCs w:val="24"/>
          <w:u w:val="single"/>
        </w:rPr>
        <w:t>Problems in Specification of Composition</w:t>
      </w:r>
    </w:p>
    <w:p w:rsidR="00126F7B" w:rsidRPr="0017370E" w:rsidRDefault="00126F7B" w:rsidP="00126F7B">
      <w:pPr>
        <w:pStyle w:val="Style1"/>
        <w:rPr>
          <w:sz w:val="24"/>
          <w:szCs w:val="24"/>
        </w:rPr>
      </w:pPr>
      <w:proofErr w:type="gramStart"/>
      <w:r w:rsidRPr="0017370E">
        <w:rPr>
          <w:sz w:val="24"/>
          <w:szCs w:val="24"/>
        </w:rPr>
        <w:t>4.25  Silver</w:t>
      </w:r>
      <w:proofErr w:type="gramEnd"/>
      <w:r w:rsidRPr="0017370E">
        <w:rPr>
          <w:sz w:val="24"/>
          <w:szCs w:val="24"/>
        </w:rPr>
        <w:t xml:space="preserve"> and palladium both have the FCC crystal structure, and Pd forms a </w:t>
      </w:r>
      <w:proofErr w:type="spellStart"/>
      <w:r w:rsidRPr="0017370E">
        <w:rPr>
          <w:sz w:val="24"/>
          <w:szCs w:val="24"/>
        </w:rPr>
        <w:t>substitutional</w:t>
      </w:r>
      <w:proofErr w:type="spellEnd"/>
      <w:r w:rsidRPr="0017370E">
        <w:rPr>
          <w:sz w:val="24"/>
          <w:szCs w:val="24"/>
        </w:rPr>
        <w:t xml:space="preserve"> solid solution for all concentrations at room temperature. Compute the unit cell edge length for a 75 wt% Ag–25 wt% Pd alloy.  The room-temperature density of Pd is 12.02 g/cm</w:t>
      </w:r>
      <w:r w:rsidRPr="0017370E">
        <w:rPr>
          <w:sz w:val="24"/>
          <w:szCs w:val="24"/>
          <w:vertAlign w:val="superscript"/>
        </w:rPr>
        <w:t>3</w:t>
      </w:r>
      <w:r w:rsidRPr="0017370E">
        <w:rPr>
          <w:sz w:val="24"/>
          <w:szCs w:val="24"/>
        </w:rPr>
        <w:t>, and its atomic weight and atomic radius are 106.4 g/mol and 0.138 nm, respectively.</w:t>
      </w:r>
    </w:p>
    <w:p w:rsidR="00126F7B" w:rsidRPr="0017370E" w:rsidRDefault="00126F7B">
      <w:pPr>
        <w:rPr>
          <w:rFonts w:ascii="Times New Roman" w:hAnsi="Times New Roman" w:cs="Times New Roman"/>
          <w:sz w:val="24"/>
          <w:szCs w:val="24"/>
        </w:rPr>
      </w:pPr>
    </w:p>
    <w:p w:rsidR="00126F7B" w:rsidRPr="0017370E" w:rsidRDefault="00126F7B">
      <w:pPr>
        <w:rPr>
          <w:rFonts w:ascii="Times New Roman" w:hAnsi="Times New Roman" w:cs="Times New Roman"/>
          <w:sz w:val="24"/>
          <w:szCs w:val="24"/>
        </w:rPr>
      </w:pPr>
    </w:p>
    <w:p w:rsidR="00126F7B" w:rsidRPr="0017370E" w:rsidRDefault="0017370E" w:rsidP="00126F7B">
      <w:pPr>
        <w:pStyle w:val="Style1"/>
        <w:rPr>
          <w:i/>
          <w:sz w:val="24"/>
          <w:szCs w:val="24"/>
        </w:rPr>
      </w:pPr>
      <w:r w:rsidRPr="0017370E">
        <w:rPr>
          <w:sz w:val="24"/>
          <w:szCs w:val="24"/>
        </w:rPr>
        <w:lastRenderedPageBreak/>
        <w:t xml:space="preserve">e. </w:t>
      </w:r>
      <w:proofErr w:type="gramStart"/>
      <w:r w:rsidR="00126F7B" w:rsidRPr="0017370E">
        <w:rPr>
          <w:sz w:val="24"/>
          <w:szCs w:val="24"/>
        </w:rPr>
        <w:t xml:space="preserve">19.D1  </w:t>
      </w:r>
      <w:r w:rsidR="00126F7B" w:rsidRPr="0017370E">
        <w:rPr>
          <w:i/>
          <w:sz w:val="24"/>
          <w:szCs w:val="24"/>
        </w:rPr>
        <w:t>Railroad</w:t>
      </w:r>
      <w:proofErr w:type="gramEnd"/>
      <w:r w:rsidR="00126F7B" w:rsidRPr="0017370E">
        <w:rPr>
          <w:i/>
          <w:sz w:val="24"/>
          <w:szCs w:val="24"/>
        </w:rPr>
        <w:t xml:space="preserve"> tracks made of 1025 steel are to be laid during the time of year when the temperature averages 10°C (50°F). If a joint space of 4.6 mm (0.180 in.) is allowed between the standard 11.9-m (39-ft) long rails, what is the hottest possible temperature that can be tolerated without the introduction of thermal stresses?</w:t>
      </w:r>
    </w:p>
    <w:p w:rsidR="00126F7B" w:rsidRPr="0017370E" w:rsidRDefault="00126F7B">
      <w:pPr>
        <w:rPr>
          <w:rFonts w:ascii="Times New Roman" w:hAnsi="Times New Roman" w:cs="Times New Roman"/>
          <w:sz w:val="24"/>
          <w:szCs w:val="24"/>
        </w:rPr>
      </w:pPr>
      <w:r w:rsidRPr="0017370E">
        <w:rPr>
          <w:rFonts w:ascii="Times New Roman" w:hAnsi="Times New Roman" w:cs="Times New Roman"/>
          <w:sz w:val="24"/>
          <w:szCs w:val="24"/>
        </w:rPr>
        <w:t>[</w:t>
      </w:r>
      <w:r w:rsidRPr="0017370E">
        <w:rPr>
          <w:rFonts w:ascii="Times New Roman" w:hAnsi="Times New Roman" w:cs="Times New Roman"/>
          <w:sz w:val="24"/>
          <w:szCs w:val="24"/>
        </w:rPr>
        <w:t></w:t>
      </w:r>
      <w:r w:rsidRPr="0017370E">
        <w:rPr>
          <w:rStyle w:val="Subscript"/>
          <w:rFonts w:cs="Times New Roman"/>
          <w:i/>
          <w:sz w:val="24"/>
          <w:szCs w:val="24"/>
        </w:rPr>
        <w:t>l</w:t>
      </w:r>
      <w:r w:rsidRPr="0017370E">
        <w:rPr>
          <w:rFonts w:ascii="Times New Roman" w:hAnsi="Times New Roman" w:cs="Times New Roman"/>
          <w:sz w:val="24"/>
          <w:szCs w:val="24"/>
        </w:rPr>
        <w:t xml:space="preserve"> for the 1025 steel [12.0 </w:t>
      </w:r>
      <w:r w:rsidRPr="0017370E">
        <w:rPr>
          <w:rFonts w:ascii="Times New Roman" w:hAnsi="Times New Roman" w:cs="Times New Roman"/>
          <w:sz w:val="24"/>
          <w:szCs w:val="24"/>
        </w:rPr>
        <w:sym w:font="Symbol" w:char="F0B4"/>
      </w:r>
      <w:r w:rsidRPr="0017370E">
        <w:rPr>
          <w:rFonts w:ascii="Times New Roman" w:hAnsi="Times New Roman" w:cs="Times New Roman"/>
          <w:sz w:val="24"/>
          <w:szCs w:val="24"/>
        </w:rPr>
        <w:t xml:space="preserve"> 10</w:t>
      </w:r>
      <w:r w:rsidRPr="0017370E">
        <w:rPr>
          <w:rStyle w:val="Superscript"/>
          <w:rFonts w:cs="Times New Roman"/>
          <w:sz w:val="24"/>
          <w:szCs w:val="24"/>
        </w:rPr>
        <w:t>-6</w:t>
      </w:r>
      <w:r w:rsidRPr="0017370E">
        <w:rPr>
          <w:rFonts w:ascii="Times New Roman" w:hAnsi="Times New Roman" w:cs="Times New Roman"/>
          <w:sz w:val="24"/>
          <w:szCs w:val="24"/>
        </w:rPr>
        <w:t xml:space="preserve"> (</w:t>
      </w:r>
      <w:r w:rsidRPr="0017370E">
        <w:rPr>
          <w:rFonts w:ascii="Times New Roman" w:hAnsi="Times New Roman" w:cs="Times New Roman"/>
          <w:sz w:val="24"/>
          <w:szCs w:val="24"/>
        </w:rPr>
        <w:t>C)</w:t>
      </w:r>
      <w:r w:rsidRPr="0017370E">
        <w:rPr>
          <w:rStyle w:val="Superscript"/>
          <w:rFonts w:cs="Times New Roman"/>
          <w:sz w:val="24"/>
          <w:szCs w:val="24"/>
        </w:rPr>
        <w:t>-1</w:t>
      </w:r>
      <w:r w:rsidRPr="0017370E">
        <w:rPr>
          <w:rFonts w:ascii="Times New Roman" w:hAnsi="Times New Roman" w:cs="Times New Roman"/>
          <w:sz w:val="24"/>
          <w:szCs w:val="24"/>
        </w:rPr>
        <w:t>]</w:t>
      </w:r>
    </w:p>
    <w:p w:rsidR="00126F7B" w:rsidRPr="0017370E" w:rsidRDefault="00126F7B" w:rsidP="00126F7B">
      <w:pPr>
        <w:rPr>
          <w:rFonts w:ascii="Times New Roman" w:hAnsi="Times New Roman" w:cs="Times New Roman"/>
          <w:sz w:val="24"/>
          <w:szCs w:val="24"/>
        </w:rPr>
      </w:pPr>
    </w:p>
    <w:p w:rsidR="00126F7B" w:rsidRPr="0017370E" w:rsidRDefault="0017370E" w:rsidP="00126F7B">
      <w:pPr>
        <w:rPr>
          <w:rFonts w:ascii="Times New Roman" w:hAnsi="Times New Roman" w:cs="Times New Roman"/>
          <w:sz w:val="24"/>
          <w:szCs w:val="24"/>
        </w:rPr>
      </w:pPr>
      <w:r w:rsidRPr="0017370E">
        <w:rPr>
          <w:rFonts w:ascii="Times New Roman" w:hAnsi="Times New Roman" w:cs="Times New Roman"/>
          <w:sz w:val="24"/>
          <w:szCs w:val="24"/>
        </w:rPr>
        <w:t xml:space="preserve">f. </w:t>
      </w:r>
      <w:r w:rsidR="00126F7B" w:rsidRPr="0017370E">
        <w:rPr>
          <w:rFonts w:ascii="Times New Roman" w:hAnsi="Times New Roman" w:cs="Times New Roman"/>
          <w:sz w:val="24"/>
          <w:szCs w:val="24"/>
        </w:rPr>
        <w:t>Understanding of the following</w:t>
      </w:r>
      <w:proofErr w:type="gramStart"/>
      <w:r w:rsidR="00126F7B" w:rsidRPr="0017370E">
        <w:rPr>
          <w:rFonts w:ascii="Times New Roman" w:hAnsi="Times New Roman" w:cs="Times New Roman"/>
          <w:sz w:val="24"/>
          <w:szCs w:val="24"/>
        </w:rPr>
        <w:t>:</w:t>
      </w:r>
      <w:proofErr w:type="gramEnd"/>
      <w:r w:rsidR="00126F7B" w:rsidRPr="0017370E">
        <w:rPr>
          <w:rFonts w:ascii="Times New Roman" w:hAnsi="Times New Roman" w:cs="Times New Roman"/>
          <w:sz w:val="24"/>
          <w:szCs w:val="24"/>
        </w:rPr>
        <w:br/>
      </w:r>
      <w:r>
        <w:rPr>
          <w:rFonts w:ascii="Times New Roman" w:hAnsi="Times New Roman" w:cs="Times New Roman"/>
          <w:sz w:val="24"/>
          <w:szCs w:val="24"/>
        </w:rPr>
        <w:t>1</w:t>
      </w:r>
      <w:r w:rsidR="00126F7B" w:rsidRPr="0017370E">
        <w:rPr>
          <w:rFonts w:ascii="Times New Roman" w:hAnsi="Times New Roman" w:cs="Times New Roman"/>
          <w:sz w:val="24"/>
          <w:szCs w:val="24"/>
        </w:rPr>
        <w:t xml:space="preserve">. p-type and n-type semiconductors </w:t>
      </w:r>
      <w:r w:rsidR="00126F7B" w:rsidRPr="0017370E">
        <w:rPr>
          <w:rFonts w:ascii="Times New Roman" w:hAnsi="Times New Roman" w:cs="Times New Roman"/>
          <w:sz w:val="24"/>
          <w:szCs w:val="24"/>
        </w:rPr>
        <w:br/>
      </w:r>
      <w:r>
        <w:rPr>
          <w:rFonts w:ascii="Times New Roman" w:hAnsi="Times New Roman" w:cs="Times New Roman"/>
          <w:sz w:val="24"/>
          <w:szCs w:val="24"/>
        </w:rPr>
        <w:t>2</w:t>
      </w:r>
      <w:r w:rsidR="00126F7B" w:rsidRPr="0017370E">
        <w:rPr>
          <w:rFonts w:ascii="Times New Roman" w:hAnsi="Times New Roman" w:cs="Times New Roman"/>
          <w:sz w:val="24"/>
          <w:szCs w:val="24"/>
        </w:rPr>
        <w:t xml:space="preserve">. </w:t>
      </w:r>
      <w:proofErr w:type="gramStart"/>
      <w:r w:rsidR="00126F7B" w:rsidRPr="0017370E">
        <w:rPr>
          <w:rFonts w:ascii="Times New Roman" w:hAnsi="Times New Roman" w:cs="Times New Roman"/>
          <w:sz w:val="24"/>
          <w:szCs w:val="24"/>
        </w:rPr>
        <w:t>n-type</w:t>
      </w:r>
      <w:proofErr w:type="gramEnd"/>
      <w:r w:rsidR="00126F7B" w:rsidRPr="0017370E">
        <w:rPr>
          <w:rFonts w:ascii="Times New Roman" w:hAnsi="Times New Roman" w:cs="Times New Roman"/>
          <w:sz w:val="24"/>
          <w:szCs w:val="24"/>
        </w:rPr>
        <w:t xml:space="preserve"> semiconductors</w:t>
      </w:r>
      <w:r w:rsidR="00126F7B" w:rsidRPr="0017370E">
        <w:rPr>
          <w:rFonts w:ascii="Times New Roman" w:hAnsi="Times New Roman" w:cs="Times New Roman"/>
          <w:sz w:val="24"/>
          <w:szCs w:val="24"/>
        </w:rPr>
        <w:br/>
      </w:r>
      <w:r>
        <w:rPr>
          <w:rFonts w:ascii="Times New Roman" w:hAnsi="Times New Roman" w:cs="Times New Roman"/>
          <w:sz w:val="24"/>
          <w:szCs w:val="24"/>
        </w:rPr>
        <w:t>3</w:t>
      </w:r>
      <w:r w:rsidR="00126F7B" w:rsidRPr="0017370E">
        <w:rPr>
          <w:rFonts w:ascii="Times New Roman" w:hAnsi="Times New Roman" w:cs="Times New Roman"/>
          <w:sz w:val="24"/>
          <w:szCs w:val="24"/>
        </w:rPr>
        <w:t xml:space="preserve">. Hall </w:t>
      </w:r>
      <w:proofErr w:type="gramStart"/>
      <w:r w:rsidR="00126F7B" w:rsidRPr="0017370E">
        <w:rPr>
          <w:rFonts w:ascii="Times New Roman" w:hAnsi="Times New Roman" w:cs="Times New Roman"/>
          <w:sz w:val="24"/>
          <w:szCs w:val="24"/>
        </w:rPr>
        <w:t>effect</w:t>
      </w:r>
      <w:proofErr w:type="gramEnd"/>
    </w:p>
    <w:p w:rsidR="00126F7B" w:rsidRPr="0017370E" w:rsidRDefault="0017370E" w:rsidP="00126F7B">
      <w:pPr>
        <w:pStyle w:val="Style1"/>
        <w:rPr>
          <w:sz w:val="24"/>
          <w:szCs w:val="24"/>
        </w:rPr>
      </w:pPr>
      <w:r w:rsidRPr="0017370E">
        <w:rPr>
          <w:sz w:val="24"/>
          <w:szCs w:val="24"/>
        </w:rPr>
        <w:t xml:space="preserve">g. </w:t>
      </w:r>
      <w:proofErr w:type="gramStart"/>
      <w:r w:rsidR="00126F7B" w:rsidRPr="0017370E">
        <w:rPr>
          <w:sz w:val="24"/>
          <w:szCs w:val="24"/>
        </w:rPr>
        <w:t xml:space="preserve">18.31  </w:t>
      </w:r>
      <w:r w:rsidR="00126F7B" w:rsidRPr="0017370E">
        <w:rPr>
          <w:i/>
          <w:sz w:val="24"/>
          <w:szCs w:val="24"/>
        </w:rPr>
        <w:t>The</w:t>
      </w:r>
      <w:proofErr w:type="gramEnd"/>
      <w:r w:rsidR="00126F7B" w:rsidRPr="0017370E">
        <w:rPr>
          <w:i/>
          <w:sz w:val="24"/>
          <w:szCs w:val="24"/>
        </w:rPr>
        <w:t xml:space="preserve"> following electrical characteristics have been determined for both intrinsic and p-type extrinsic indium </w:t>
      </w:r>
      <w:proofErr w:type="spellStart"/>
      <w:r w:rsidR="00126F7B" w:rsidRPr="0017370E">
        <w:rPr>
          <w:i/>
          <w:sz w:val="24"/>
          <w:szCs w:val="24"/>
        </w:rPr>
        <w:t>phosphide</w:t>
      </w:r>
      <w:proofErr w:type="spellEnd"/>
      <w:r w:rsidR="00126F7B" w:rsidRPr="0017370E">
        <w:rPr>
          <w:i/>
          <w:sz w:val="24"/>
          <w:szCs w:val="24"/>
        </w:rPr>
        <w:t xml:space="preserve"> (</w:t>
      </w:r>
      <w:proofErr w:type="spellStart"/>
      <w:r w:rsidR="00126F7B" w:rsidRPr="0017370E">
        <w:rPr>
          <w:i/>
          <w:sz w:val="24"/>
          <w:szCs w:val="24"/>
        </w:rPr>
        <w:t>InP</w:t>
      </w:r>
      <w:proofErr w:type="spellEnd"/>
      <w:r w:rsidR="00126F7B" w:rsidRPr="0017370E">
        <w:rPr>
          <w:i/>
          <w:sz w:val="24"/>
          <w:szCs w:val="24"/>
        </w:rPr>
        <w:t>) at room temperature:</w:t>
      </w:r>
    </w:p>
    <w:p w:rsidR="00126F7B" w:rsidRPr="0017370E" w:rsidRDefault="00126F7B" w:rsidP="00126F7B">
      <w:pPr>
        <w:pStyle w:val="Style1"/>
        <w:rPr>
          <w:sz w:val="24"/>
          <w:szCs w:val="24"/>
        </w:rPr>
      </w:pPr>
    </w:p>
    <w:tbl>
      <w:tblPr>
        <w:tblW w:w="0" w:type="auto"/>
        <w:tblInd w:w="810" w:type="dxa"/>
        <w:tblLayout w:type="fixed"/>
        <w:tblLook w:val="0000"/>
      </w:tblPr>
      <w:tblGrid>
        <w:gridCol w:w="1998"/>
        <w:gridCol w:w="1350"/>
        <w:gridCol w:w="1620"/>
        <w:gridCol w:w="1350"/>
      </w:tblGrid>
      <w:tr w:rsidR="00126F7B" w:rsidRPr="0017370E" w:rsidTr="00B451CC">
        <w:tc>
          <w:tcPr>
            <w:tcW w:w="1998" w:type="dxa"/>
            <w:tcBorders>
              <w:top w:val="single" w:sz="4" w:space="0" w:color="auto"/>
              <w:bottom w:val="single" w:sz="4" w:space="0" w:color="auto"/>
            </w:tcBorders>
          </w:tcPr>
          <w:p w:rsidR="00126F7B" w:rsidRPr="0017370E" w:rsidRDefault="00126F7B" w:rsidP="00B451CC">
            <w:pPr>
              <w:pStyle w:val="noindent"/>
              <w:spacing w:line="360" w:lineRule="auto"/>
              <w:rPr>
                <w:b/>
                <w:szCs w:val="24"/>
              </w:rPr>
            </w:pPr>
          </w:p>
        </w:tc>
        <w:tc>
          <w:tcPr>
            <w:tcW w:w="1350" w:type="dxa"/>
            <w:tcBorders>
              <w:top w:val="single" w:sz="4" w:space="0" w:color="auto"/>
              <w:bottom w:val="single" w:sz="4" w:space="0" w:color="auto"/>
            </w:tcBorders>
          </w:tcPr>
          <w:p w:rsidR="00126F7B" w:rsidRPr="0017370E" w:rsidRDefault="00126F7B" w:rsidP="00B451CC">
            <w:pPr>
              <w:pStyle w:val="noindent"/>
              <w:spacing w:line="360" w:lineRule="auto"/>
              <w:jc w:val="center"/>
              <w:rPr>
                <w:b/>
                <w:szCs w:val="24"/>
              </w:rPr>
            </w:pPr>
            <w:r w:rsidRPr="0017370E">
              <w:rPr>
                <w:b/>
                <w:szCs w:val="24"/>
              </w:rPr>
              <w:t>σ (Ω -</w:t>
            </w:r>
            <w:r w:rsidRPr="0017370E">
              <w:rPr>
                <w:b/>
                <w:i/>
                <w:szCs w:val="24"/>
              </w:rPr>
              <w:t>m</w:t>
            </w:r>
            <w:r w:rsidRPr="0017370E">
              <w:rPr>
                <w:b/>
                <w:szCs w:val="24"/>
              </w:rPr>
              <w:t>)</w:t>
            </w:r>
            <w:r w:rsidRPr="0017370E">
              <w:rPr>
                <w:b/>
                <w:szCs w:val="24"/>
                <w:vertAlign w:val="superscript"/>
              </w:rPr>
              <w:t>–1</w:t>
            </w:r>
          </w:p>
        </w:tc>
        <w:tc>
          <w:tcPr>
            <w:tcW w:w="1620" w:type="dxa"/>
            <w:tcBorders>
              <w:top w:val="single" w:sz="4" w:space="0" w:color="auto"/>
              <w:bottom w:val="single" w:sz="4" w:space="0" w:color="auto"/>
            </w:tcBorders>
          </w:tcPr>
          <w:p w:rsidR="00126F7B" w:rsidRPr="0017370E" w:rsidRDefault="00126F7B" w:rsidP="00B451CC">
            <w:pPr>
              <w:pStyle w:val="noindent"/>
              <w:spacing w:line="360" w:lineRule="auto"/>
              <w:jc w:val="center"/>
              <w:rPr>
                <w:b/>
                <w:szCs w:val="24"/>
              </w:rPr>
            </w:pPr>
            <w:r w:rsidRPr="0017370E">
              <w:rPr>
                <w:b/>
                <w:i/>
                <w:szCs w:val="24"/>
              </w:rPr>
              <w:t>n</w:t>
            </w:r>
            <w:r w:rsidRPr="0017370E">
              <w:rPr>
                <w:b/>
                <w:szCs w:val="24"/>
              </w:rPr>
              <w:t xml:space="preserve"> (</w:t>
            </w:r>
            <w:r w:rsidRPr="0017370E">
              <w:rPr>
                <w:b/>
                <w:i/>
                <w:szCs w:val="24"/>
              </w:rPr>
              <w:t>m</w:t>
            </w:r>
            <w:r w:rsidRPr="0017370E">
              <w:rPr>
                <w:b/>
                <w:szCs w:val="24"/>
                <w:vertAlign w:val="superscript"/>
              </w:rPr>
              <w:t>–3</w:t>
            </w:r>
            <w:r w:rsidRPr="0017370E">
              <w:rPr>
                <w:b/>
                <w:szCs w:val="24"/>
              </w:rPr>
              <w:t>)</w:t>
            </w:r>
          </w:p>
        </w:tc>
        <w:tc>
          <w:tcPr>
            <w:tcW w:w="1350" w:type="dxa"/>
            <w:tcBorders>
              <w:top w:val="single" w:sz="4" w:space="0" w:color="auto"/>
              <w:bottom w:val="single" w:sz="4" w:space="0" w:color="auto"/>
            </w:tcBorders>
          </w:tcPr>
          <w:p w:rsidR="00126F7B" w:rsidRPr="0017370E" w:rsidRDefault="00126F7B" w:rsidP="00B451CC">
            <w:pPr>
              <w:pStyle w:val="noindent"/>
              <w:spacing w:line="360" w:lineRule="auto"/>
              <w:jc w:val="center"/>
              <w:rPr>
                <w:b/>
                <w:szCs w:val="24"/>
              </w:rPr>
            </w:pPr>
            <w:r w:rsidRPr="0017370E">
              <w:rPr>
                <w:b/>
                <w:i/>
                <w:szCs w:val="24"/>
              </w:rPr>
              <w:t>p</w:t>
            </w:r>
            <w:r w:rsidRPr="0017370E">
              <w:rPr>
                <w:b/>
                <w:szCs w:val="24"/>
              </w:rPr>
              <w:t xml:space="preserve"> (</w:t>
            </w:r>
            <w:r w:rsidRPr="0017370E">
              <w:rPr>
                <w:b/>
                <w:i/>
                <w:szCs w:val="24"/>
              </w:rPr>
              <w:t>m</w:t>
            </w:r>
            <w:r w:rsidRPr="0017370E">
              <w:rPr>
                <w:b/>
                <w:szCs w:val="24"/>
                <w:vertAlign w:val="superscript"/>
              </w:rPr>
              <w:t>–3</w:t>
            </w:r>
            <w:r w:rsidRPr="0017370E">
              <w:rPr>
                <w:b/>
                <w:szCs w:val="24"/>
              </w:rPr>
              <w:t>)</w:t>
            </w:r>
          </w:p>
        </w:tc>
      </w:tr>
      <w:tr w:rsidR="00126F7B" w:rsidRPr="0017370E" w:rsidTr="00B451CC">
        <w:tc>
          <w:tcPr>
            <w:tcW w:w="1998" w:type="dxa"/>
            <w:tcBorders>
              <w:top w:val="single" w:sz="4" w:space="0" w:color="auto"/>
            </w:tcBorders>
          </w:tcPr>
          <w:p w:rsidR="00126F7B" w:rsidRPr="0017370E" w:rsidRDefault="00126F7B" w:rsidP="00B451CC">
            <w:pPr>
              <w:pStyle w:val="noindent"/>
              <w:spacing w:line="360" w:lineRule="auto"/>
              <w:rPr>
                <w:i/>
                <w:szCs w:val="24"/>
              </w:rPr>
            </w:pPr>
            <w:r w:rsidRPr="0017370E">
              <w:rPr>
                <w:i/>
                <w:szCs w:val="24"/>
              </w:rPr>
              <w:t>Intrinsic</w:t>
            </w:r>
          </w:p>
        </w:tc>
        <w:tc>
          <w:tcPr>
            <w:tcW w:w="1350" w:type="dxa"/>
            <w:tcBorders>
              <w:top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2.5 × 10</w:t>
            </w:r>
            <w:r w:rsidRPr="0017370E">
              <w:rPr>
                <w:rFonts w:ascii="Times New Roman" w:hAnsi="Times New Roman" w:cs="Times New Roman"/>
                <w:i/>
                <w:sz w:val="24"/>
                <w:szCs w:val="24"/>
                <w:vertAlign w:val="superscript"/>
              </w:rPr>
              <w:t>-6</w:t>
            </w:r>
          </w:p>
        </w:tc>
        <w:tc>
          <w:tcPr>
            <w:tcW w:w="1620" w:type="dxa"/>
            <w:tcBorders>
              <w:top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3.0 × 10</w:t>
            </w:r>
            <w:r w:rsidRPr="0017370E">
              <w:rPr>
                <w:rFonts w:ascii="Times New Roman" w:hAnsi="Times New Roman" w:cs="Times New Roman"/>
                <w:i/>
                <w:sz w:val="24"/>
                <w:szCs w:val="24"/>
                <w:vertAlign w:val="superscript"/>
              </w:rPr>
              <w:t>13</w:t>
            </w:r>
          </w:p>
        </w:tc>
        <w:tc>
          <w:tcPr>
            <w:tcW w:w="1350" w:type="dxa"/>
            <w:tcBorders>
              <w:top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3.0 × 10</w:t>
            </w:r>
            <w:r w:rsidRPr="0017370E">
              <w:rPr>
                <w:rFonts w:ascii="Times New Roman" w:hAnsi="Times New Roman" w:cs="Times New Roman"/>
                <w:i/>
                <w:sz w:val="24"/>
                <w:szCs w:val="24"/>
                <w:vertAlign w:val="superscript"/>
              </w:rPr>
              <w:t>13</w:t>
            </w:r>
          </w:p>
        </w:tc>
      </w:tr>
      <w:tr w:rsidR="00126F7B" w:rsidRPr="0017370E" w:rsidTr="00B451CC">
        <w:tc>
          <w:tcPr>
            <w:tcW w:w="1998" w:type="dxa"/>
            <w:tcBorders>
              <w:bottom w:val="single" w:sz="4" w:space="0" w:color="auto"/>
            </w:tcBorders>
          </w:tcPr>
          <w:p w:rsidR="00126F7B" w:rsidRPr="0017370E" w:rsidRDefault="00126F7B" w:rsidP="00B451CC">
            <w:pPr>
              <w:pStyle w:val="noindent"/>
              <w:spacing w:line="360" w:lineRule="auto"/>
              <w:rPr>
                <w:i/>
                <w:szCs w:val="24"/>
              </w:rPr>
            </w:pPr>
            <w:r w:rsidRPr="0017370E">
              <w:rPr>
                <w:i/>
                <w:szCs w:val="24"/>
              </w:rPr>
              <w:t>Extrinsic (n-type)</w:t>
            </w:r>
          </w:p>
        </w:tc>
        <w:tc>
          <w:tcPr>
            <w:tcW w:w="1350" w:type="dxa"/>
            <w:tcBorders>
              <w:bottom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3.6 × 10</w:t>
            </w:r>
            <w:r w:rsidRPr="0017370E">
              <w:rPr>
                <w:rFonts w:ascii="Times New Roman" w:hAnsi="Times New Roman" w:cs="Times New Roman"/>
                <w:i/>
                <w:sz w:val="24"/>
                <w:szCs w:val="24"/>
                <w:vertAlign w:val="superscript"/>
              </w:rPr>
              <w:t>-5</w:t>
            </w:r>
          </w:p>
        </w:tc>
        <w:tc>
          <w:tcPr>
            <w:tcW w:w="1620" w:type="dxa"/>
            <w:tcBorders>
              <w:bottom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4.5 × 10</w:t>
            </w:r>
            <w:r w:rsidRPr="0017370E">
              <w:rPr>
                <w:rFonts w:ascii="Times New Roman" w:hAnsi="Times New Roman" w:cs="Times New Roman"/>
                <w:i/>
                <w:sz w:val="24"/>
                <w:szCs w:val="24"/>
                <w:vertAlign w:val="superscript"/>
              </w:rPr>
              <w:t>14</w:t>
            </w:r>
          </w:p>
        </w:tc>
        <w:tc>
          <w:tcPr>
            <w:tcW w:w="1350" w:type="dxa"/>
            <w:tcBorders>
              <w:bottom w:val="single" w:sz="4" w:space="0" w:color="auto"/>
            </w:tcBorders>
          </w:tcPr>
          <w:p w:rsidR="00126F7B" w:rsidRPr="0017370E" w:rsidRDefault="00126F7B" w:rsidP="00B451CC">
            <w:pPr>
              <w:spacing w:line="360" w:lineRule="auto"/>
              <w:jc w:val="center"/>
              <w:rPr>
                <w:rFonts w:ascii="Times New Roman" w:hAnsi="Times New Roman" w:cs="Times New Roman"/>
                <w:i/>
                <w:sz w:val="24"/>
                <w:szCs w:val="24"/>
              </w:rPr>
            </w:pPr>
            <w:r w:rsidRPr="0017370E">
              <w:rPr>
                <w:rFonts w:ascii="Times New Roman" w:hAnsi="Times New Roman" w:cs="Times New Roman"/>
                <w:i/>
                <w:sz w:val="24"/>
                <w:szCs w:val="24"/>
              </w:rPr>
              <w:t>2.0 × 10</w:t>
            </w:r>
            <w:r w:rsidRPr="0017370E">
              <w:rPr>
                <w:rFonts w:ascii="Times New Roman" w:hAnsi="Times New Roman" w:cs="Times New Roman"/>
                <w:i/>
                <w:sz w:val="24"/>
                <w:szCs w:val="24"/>
                <w:vertAlign w:val="superscript"/>
              </w:rPr>
              <w:t>12</w:t>
            </w:r>
          </w:p>
        </w:tc>
      </w:tr>
    </w:tbl>
    <w:p w:rsidR="00126F7B" w:rsidRPr="0017370E" w:rsidRDefault="00126F7B" w:rsidP="00126F7B">
      <w:pPr>
        <w:pStyle w:val="Style1"/>
        <w:spacing w:line="240" w:lineRule="auto"/>
        <w:rPr>
          <w:sz w:val="24"/>
          <w:szCs w:val="24"/>
        </w:rPr>
      </w:pPr>
    </w:p>
    <w:p w:rsidR="00126F7B" w:rsidRPr="0017370E" w:rsidRDefault="00126F7B" w:rsidP="00126F7B">
      <w:pPr>
        <w:pStyle w:val="Style1"/>
        <w:rPr>
          <w:sz w:val="24"/>
          <w:szCs w:val="24"/>
        </w:rPr>
      </w:pPr>
      <w:r w:rsidRPr="0017370E">
        <w:rPr>
          <w:i/>
          <w:sz w:val="24"/>
          <w:szCs w:val="24"/>
        </w:rPr>
        <w:t xml:space="preserve">Calculate electron and hole </w:t>
      </w:r>
      <w:proofErr w:type="spellStart"/>
      <w:r w:rsidRPr="0017370E">
        <w:rPr>
          <w:i/>
          <w:sz w:val="24"/>
          <w:szCs w:val="24"/>
        </w:rPr>
        <w:t>mobilities</w:t>
      </w:r>
      <w:proofErr w:type="spellEnd"/>
      <w:r w:rsidRPr="0017370E">
        <w:rPr>
          <w:i/>
          <w:sz w:val="24"/>
          <w:szCs w:val="24"/>
        </w:rPr>
        <w:t>.</w:t>
      </w:r>
    </w:p>
    <w:p w:rsidR="00126F7B" w:rsidRPr="0017370E" w:rsidRDefault="00126F7B" w:rsidP="00126F7B">
      <w:pPr>
        <w:rPr>
          <w:rFonts w:ascii="Times New Roman" w:hAnsi="Times New Roman" w:cs="Times New Roman"/>
          <w:sz w:val="24"/>
          <w:szCs w:val="24"/>
        </w:rPr>
      </w:pPr>
    </w:p>
    <w:p w:rsidR="00126F7B" w:rsidRPr="0017370E" w:rsidRDefault="00126F7B" w:rsidP="00126F7B">
      <w:pPr>
        <w:rPr>
          <w:rFonts w:ascii="Times New Roman" w:hAnsi="Times New Roman" w:cs="Times New Roman"/>
          <w:sz w:val="24"/>
          <w:szCs w:val="24"/>
        </w:rPr>
      </w:pPr>
    </w:p>
    <w:p w:rsidR="00126F7B" w:rsidRDefault="0017370E" w:rsidP="0017370E">
      <w:pPr>
        <w:rPr>
          <w:rFonts w:ascii="Times New Roman" w:hAnsi="Times New Roman" w:cs="Times New Roman"/>
          <w:sz w:val="24"/>
          <w:szCs w:val="24"/>
        </w:rPr>
      </w:pPr>
      <w:r w:rsidRPr="0017370E">
        <w:rPr>
          <w:rFonts w:ascii="Times New Roman" w:hAnsi="Times New Roman" w:cs="Times New Roman"/>
          <w:bCs/>
          <w:sz w:val="24"/>
          <w:szCs w:val="24"/>
        </w:rPr>
        <w:t xml:space="preserve">h. </w:t>
      </w:r>
      <w:r w:rsidR="00126F7B" w:rsidRPr="0017370E">
        <w:rPr>
          <w:rFonts w:ascii="Times New Roman" w:hAnsi="Times New Roman" w:cs="Times New Roman"/>
          <w:bCs/>
          <w:sz w:val="24"/>
          <w:szCs w:val="24"/>
        </w:rPr>
        <w:t>Types of Magnetism</w:t>
      </w:r>
      <w:r w:rsidRPr="0017370E">
        <w:rPr>
          <w:rFonts w:ascii="Times New Roman" w:hAnsi="Times New Roman" w:cs="Times New Roman"/>
          <w:bCs/>
          <w:sz w:val="24"/>
          <w:szCs w:val="24"/>
        </w:rPr>
        <w:t xml:space="preserve"> and examples.</w:t>
      </w:r>
      <w:r w:rsidRPr="0017370E">
        <w:rPr>
          <w:rFonts w:ascii="Times New Roman" w:hAnsi="Times New Roman" w:cs="Times New Roman"/>
          <w:b/>
          <w:bCs/>
          <w:sz w:val="24"/>
          <w:szCs w:val="24"/>
        </w:rPr>
        <w:t xml:space="preserve"> </w:t>
      </w:r>
      <w:r w:rsidRPr="0017370E">
        <w:rPr>
          <w:rFonts w:ascii="Times New Roman" w:hAnsi="Times New Roman" w:cs="Times New Roman"/>
          <w:b/>
          <w:bCs/>
          <w:sz w:val="24"/>
          <w:szCs w:val="24"/>
        </w:rPr>
        <w:br/>
      </w:r>
      <w:r w:rsidRPr="0017370E">
        <w:rPr>
          <w:rFonts w:ascii="Times New Roman" w:hAnsi="Times New Roman" w:cs="Times New Roman"/>
          <w:b/>
          <w:bCs/>
          <w:sz w:val="24"/>
          <w:szCs w:val="24"/>
        </w:rPr>
        <w:br/>
      </w:r>
      <w:proofErr w:type="spellStart"/>
      <w:r w:rsidRPr="0017370E">
        <w:rPr>
          <w:rFonts w:ascii="Times New Roman" w:hAnsi="Times New Roman" w:cs="Times New Roman"/>
          <w:sz w:val="24"/>
          <w:szCs w:val="24"/>
        </w:rPr>
        <w:t>i</w:t>
      </w:r>
      <w:proofErr w:type="spellEnd"/>
      <w:r w:rsidRPr="0017370E">
        <w:rPr>
          <w:rFonts w:ascii="Times New Roman" w:hAnsi="Times New Roman" w:cs="Times New Roman"/>
          <w:sz w:val="24"/>
          <w:szCs w:val="24"/>
        </w:rPr>
        <w:t>. Magnetic storage media and solid-state drives.</w:t>
      </w:r>
    </w:p>
    <w:p w:rsidR="00DA21F6" w:rsidRDefault="00DA21F6" w:rsidP="0017370E">
      <w:pP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840C88">
          <w:rPr>
            <w:rStyle w:val="Hyperlink"/>
            <w:rFonts w:ascii="Times New Roman" w:hAnsi="Times New Roman" w:cs="Times New Roman"/>
            <w:sz w:val="24"/>
            <w:szCs w:val="24"/>
          </w:rPr>
          <w:t>https://www.youtube.com/watch?v=viac3j6MeII</w:t>
        </w:r>
      </w:hyperlink>
    </w:p>
    <w:p w:rsidR="00DA21F6" w:rsidRDefault="00DA21F6" w:rsidP="0017370E">
      <w:pPr>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840C88">
          <w:rPr>
            <w:rStyle w:val="Hyperlink"/>
            <w:rFonts w:ascii="Times New Roman" w:hAnsi="Times New Roman" w:cs="Times New Roman"/>
            <w:sz w:val="24"/>
            <w:szCs w:val="24"/>
          </w:rPr>
          <w:t>https://www.youtube.com/watch?v=AB-JUyQYxIw</w:t>
        </w:r>
      </w:hyperlink>
    </w:p>
    <w:p w:rsidR="00DA21F6" w:rsidRDefault="00DA21F6" w:rsidP="0017370E">
      <w:pPr>
        <w:rPr>
          <w:rFonts w:ascii="Times New Roman" w:hAnsi="Times New Roman" w:cs="Times New Roman"/>
          <w:sz w:val="24"/>
          <w:szCs w:val="24"/>
        </w:rPr>
      </w:pPr>
      <w:r>
        <w:rPr>
          <w:rFonts w:ascii="Times New Roman" w:hAnsi="Times New Roman" w:cs="Times New Roman"/>
          <w:sz w:val="24"/>
          <w:szCs w:val="24"/>
        </w:rPr>
        <w:t xml:space="preserve">  </w:t>
      </w:r>
    </w:p>
    <w:p w:rsidR="0017370E" w:rsidRPr="0017370E" w:rsidRDefault="0017370E" w:rsidP="0017370E">
      <w:pPr>
        <w:rPr>
          <w:rFonts w:ascii="Times New Roman" w:hAnsi="Times New Roman" w:cs="Times New Roman"/>
          <w:sz w:val="24"/>
          <w:szCs w:val="24"/>
        </w:rPr>
      </w:pPr>
      <w:r>
        <w:rPr>
          <w:rFonts w:ascii="Times New Roman" w:hAnsi="Times New Roman" w:cs="Times New Roman"/>
          <w:sz w:val="24"/>
          <w:szCs w:val="24"/>
        </w:rPr>
        <w:t>j. Questions from student presentations.</w:t>
      </w:r>
    </w:p>
    <w:sectPr w:rsidR="0017370E" w:rsidRPr="0017370E" w:rsidSect="00B36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52"/>
    <w:multiLevelType w:val="hybridMultilevel"/>
    <w:tmpl w:val="C0FE63E6"/>
    <w:lvl w:ilvl="0" w:tplc="B9EC2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F7B"/>
    <w:rsid w:val="00126F7B"/>
    <w:rsid w:val="0017370E"/>
    <w:rsid w:val="00727FE4"/>
    <w:rsid w:val="00785670"/>
    <w:rsid w:val="00B36B7D"/>
    <w:rsid w:val="00DA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6F7B"/>
    <w:pPr>
      <w:spacing w:after="0" w:line="360" w:lineRule="atLeast"/>
      <w:jc w:val="both"/>
    </w:pPr>
    <w:rPr>
      <w:rFonts w:ascii="Times New Roman" w:eastAsia="Times New Roman" w:hAnsi="Times New Roman" w:cs="Times New Roman"/>
      <w:sz w:val="20"/>
      <w:szCs w:val="20"/>
    </w:rPr>
  </w:style>
  <w:style w:type="character" w:customStyle="1" w:styleId="Superscript">
    <w:name w:val="Superscript"/>
    <w:basedOn w:val="DefaultParagraphFont"/>
    <w:rsid w:val="00126F7B"/>
    <w:rPr>
      <w:rFonts w:ascii="Times New Roman" w:hAnsi="Times New Roman"/>
      <w:position w:val="8"/>
      <w:sz w:val="18"/>
    </w:rPr>
  </w:style>
  <w:style w:type="character" w:customStyle="1" w:styleId="Subscript">
    <w:name w:val="Subscript"/>
    <w:basedOn w:val="DefaultParagraphFont"/>
    <w:rsid w:val="00126F7B"/>
    <w:rPr>
      <w:rFonts w:ascii="Times New Roman" w:hAnsi="Times New Roman"/>
      <w:position w:val="-8"/>
      <w:sz w:val="18"/>
    </w:rPr>
  </w:style>
  <w:style w:type="paragraph" w:customStyle="1" w:styleId="noindent">
    <w:name w:val="noindent"/>
    <w:basedOn w:val="PlainText"/>
    <w:rsid w:val="00126F7B"/>
    <w:pPr>
      <w:spacing w:after="0" w:line="480" w:lineRule="auto"/>
      <w:jc w:val="both"/>
    </w:pPr>
    <w:rPr>
      <w:rFonts w:ascii="Times New Roman" w:eastAsia="Times New Roman" w:hAnsi="Times New Roman" w:cs="Times New Roman"/>
      <w:sz w:val="24"/>
    </w:rPr>
  </w:style>
  <w:style w:type="paragraph" w:styleId="PlainText">
    <w:name w:val="Plain Text"/>
    <w:basedOn w:val="Normal"/>
    <w:link w:val="PlainTextChar"/>
    <w:uiPriority w:val="99"/>
    <w:semiHidden/>
    <w:unhideWhenUsed/>
    <w:rsid w:val="00126F7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26F7B"/>
    <w:rPr>
      <w:rFonts w:ascii="Courier New" w:hAnsi="Courier New" w:cs="Courier New"/>
      <w:sz w:val="20"/>
      <w:szCs w:val="20"/>
    </w:rPr>
  </w:style>
  <w:style w:type="paragraph" w:styleId="ListParagraph">
    <w:name w:val="List Paragraph"/>
    <w:basedOn w:val="Normal"/>
    <w:uiPriority w:val="34"/>
    <w:qFormat/>
    <w:rsid w:val="0017370E"/>
    <w:pPr>
      <w:ind w:left="720"/>
    </w:pPr>
  </w:style>
  <w:style w:type="paragraph" w:styleId="BalloonText">
    <w:name w:val="Balloon Text"/>
    <w:basedOn w:val="Normal"/>
    <w:link w:val="BalloonTextChar"/>
    <w:uiPriority w:val="99"/>
    <w:semiHidden/>
    <w:unhideWhenUsed/>
    <w:rsid w:val="00DA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F6"/>
    <w:rPr>
      <w:rFonts w:ascii="Tahoma" w:hAnsi="Tahoma" w:cs="Tahoma"/>
      <w:sz w:val="16"/>
      <w:szCs w:val="16"/>
    </w:rPr>
  </w:style>
  <w:style w:type="character" w:styleId="Hyperlink">
    <w:name w:val="Hyperlink"/>
    <w:basedOn w:val="DefaultParagraphFont"/>
    <w:uiPriority w:val="99"/>
    <w:unhideWhenUsed/>
    <w:rsid w:val="00DA21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B-JUyQYxIw"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hyperlink" Target="https://www.youtube.com/watch?v=viac3j6Me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2</cp:revision>
  <dcterms:created xsi:type="dcterms:W3CDTF">2014-04-25T17:04:00Z</dcterms:created>
  <dcterms:modified xsi:type="dcterms:W3CDTF">2014-04-25T17:04:00Z</dcterms:modified>
</cp:coreProperties>
</file>